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8" w:rsidRDefault="00860B48" w:rsidP="00860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4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860B48" w:rsidRPr="00E66F2E" w:rsidRDefault="00860B48" w:rsidP="00860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dashed" w:sz="2" w:space="0" w:color="D9D9D9"/>
          <w:left w:val="dashed" w:sz="2" w:space="0" w:color="D9D9D9"/>
          <w:bottom w:val="dashed" w:sz="2" w:space="0" w:color="D9D9D9"/>
          <w:right w:val="dashed" w:sz="2" w:space="0" w:color="D9D9D9"/>
          <w:insideH w:val="dashed" w:sz="2" w:space="0" w:color="D9D9D9"/>
          <w:insideV w:val="dashed" w:sz="2" w:space="0" w:color="D9D9D9"/>
        </w:tblBorders>
        <w:tblLayout w:type="fixed"/>
        <w:tblLook w:val="00A0"/>
      </w:tblPr>
      <w:tblGrid>
        <w:gridCol w:w="817"/>
        <w:gridCol w:w="7796"/>
        <w:gridCol w:w="958"/>
      </w:tblGrid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E01D41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0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0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0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3F">
              <w:rPr>
                <w:rFonts w:ascii="Times New Roman" w:hAnsi="Times New Roman"/>
                <w:sz w:val="24"/>
                <w:szCs w:val="24"/>
              </w:rPr>
              <w:t>Программы с учетом возрастных и индивидуальных особенностей воспитанников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860B48" w:rsidRPr="008F0CFC" w:rsidTr="00E233C0">
        <w:trPr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860B48" w:rsidRPr="008F0CFC" w:rsidTr="00E233C0">
        <w:trPr>
          <w:trHeight w:val="589"/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D113F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3F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C20838" w:rsidRDefault="00860B48" w:rsidP="00E2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860B48" w:rsidRPr="008F0CFC" w:rsidTr="00E233C0">
        <w:trPr>
          <w:trHeight w:val="262"/>
          <w:jc w:val="center"/>
        </w:trPr>
        <w:tc>
          <w:tcPr>
            <w:tcW w:w="817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8F0CFC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8F0CFC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F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  <w:tcBorders>
              <w:top w:val="dashed" w:sz="2" w:space="0" w:color="D9D9D9"/>
              <w:left w:val="dashed" w:sz="2" w:space="0" w:color="D9D9D9"/>
              <w:bottom w:val="dashed" w:sz="2" w:space="0" w:color="D9D9D9"/>
              <w:right w:val="dashed" w:sz="2" w:space="0" w:color="D9D9D9"/>
            </w:tcBorders>
          </w:tcPr>
          <w:p w:rsidR="00860B48" w:rsidRPr="00461EE8" w:rsidRDefault="00860B48" w:rsidP="00E23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B48" w:rsidRDefault="00860B48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34" w:rsidRDefault="001D7F34" w:rsidP="001D7F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1D7F34" w:rsidRDefault="001D7F34" w:rsidP="001D7F34">
      <w:pPr>
        <w:pStyle w:val="Style3"/>
        <w:widowControl/>
        <w:spacing w:line="360" w:lineRule="auto"/>
        <w:contextualSpacing/>
        <w:rPr>
          <w:b/>
        </w:rPr>
      </w:pPr>
      <w:r w:rsidRPr="00D710B2">
        <w:rPr>
          <w:b/>
          <w:bCs/>
          <w:color w:val="000000"/>
        </w:rPr>
        <w:t xml:space="preserve">к рабочей программе </w:t>
      </w:r>
      <w:r w:rsidRPr="00F46ADF">
        <w:rPr>
          <w:b/>
        </w:rPr>
        <w:t xml:space="preserve">образовательной деятельности </w:t>
      </w:r>
    </w:p>
    <w:p w:rsidR="001D7F34" w:rsidRDefault="001D7F34" w:rsidP="001D7F34">
      <w:pPr>
        <w:pStyle w:val="Style3"/>
        <w:widowControl/>
        <w:spacing w:line="360" w:lineRule="auto"/>
        <w:contextualSpacing/>
        <w:rPr>
          <w:b/>
        </w:rPr>
      </w:pPr>
      <w:r w:rsidRPr="00F46ADF">
        <w:rPr>
          <w:b/>
        </w:rPr>
        <w:t>в группе общеразвивающей направленности «</w:t>
      </w:r>
      <w:r>
        <w:rPr>
          <w:b/>
        </w:rPr>
        <w:t>Огонёк</w:t>
      </w:r>
      <w:r w:rsidRPr="00F46ADF">
        <w:rPr>
          <w:b/>
        </w:rPr>
        <w:t>»</w:t>
      </w:r>
    </w:p>
    <w:p w:rsidR="00860B48" w:rsidRPr="00860B48" w:rsidRDefault="00860B48" w:rsidP="00860B48">
      <w:pPr>
        <w:tabs>
          <w:tab w:val="left" w:pos="1024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образовательной деятельности в группе </w:t>
      </w:r>
      <w:proofErr w:type="spellStart"/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913B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«Огонек» </w:t>
      </w:r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9C1C7D">
        <w:rPr>
          <w:rFonts w:ascii="Times New Roman" w:eastAsia="Times New Roman" w:hAnsi="Times New Roman" w:cs="Times New Roman"/>
          <w:sz w:val="24"/>
          <w:szCs w:val="24"/>
        </w:rPr>
        <w:t>Текст] / авт.- сост.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Назарова Г.В, </w:t>
      </w:r>
      <w:r w:rsidRPr="00BD6A1F">
        <w:rPr>
          <w:rFonts w:ascii="Times New Roman" w:eastAsia="Calibri" w:hAnsi="Times New Roman" w:cs="Times New Roman"/>
          <w:sz w:val="24"/>
          <w:szCs w:val="24"/>
        </w:rPr>
        <w:t xml:space="preserve">Иванова С.Г., </w:t>
      </w:r>
      <w:r w:rsidRPr="009C1C7D">
        <w:rPr>
          <w:rFonts w:ascii="Times New Roman" w:eastAsia="Times New Roman" w:hAnsi="Times New Roman" w:cs="Times New Roman"/>
          <w:sz w:val="24"/>
          <w:szCs w:val="24"/>
        </w:rPr>
        <w:t>Прокопьевск</w:t>
      </w:r>
      <w:r w:rsidRPr="002710C1">
        <w:rPr>
          <w:rFonts w:ascii="Times New Roman" w:eastAsia="Times New Roman" w:hAnsi="Times New Roman" w:cs="Times New Roman"/>
          <w:sz w:val="24"/>
          <w:szCs w:val="24"/>
        </w:rPr>
        <w:t xml:space="preserve">, 2022.-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271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38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860B48" w:rsidRPr="00A87A4B" w:rsidRDefault="00860B48" w:rsidP="00860B48">
      <w:pPr>
        <w:tabs>
          <w:tab w:val="left" w:pos="793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деятельности в группе </w:t>
      </w:r>
      <w:proofErr w:type="spellStart"/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Подснежник</w:t>
      </w:r>
      <w:r w:rsidRPr="009C1C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C1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A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29 декабря 2012 г № 273-ФЗ «Об образовании в Российской Федерации», требованиями Федерального государственного образовательного стандарта дошкольного образования.</w:t>
      </w:r>
    </w:p>
    <w:p w:rsidR="00860B48" w:rsidRPr="004239B5" w:rsidRDefault="00860B48" w:rsidP="00860B48">
      <w:pPr>
        <w:tabs>
          <w:tab w:val="left" w:pos="793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направлена на</w:t>
      </w:r>
      <w:r w:rsidRPr="00A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A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0B48" w:rsidRPr="00983798" w:rsidRDefault="00860B48" w:rsidP="00860B48">
      <w:pPr>
        <w:tabs>
          <w:tab w:val="left" w:pos="793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47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процесса, обеспечивает разностороннее развитие детей в возрасте от </w:t>
      </w:r>
      <w:r>
        <w:rPr>
          <w:rFonts w:ascii="Times New Roman" w:eastAsia="Calibri" w:hAnsi="Times New Roman" w:cs="Times New Roman"/>
          <w:sz w:val="24"/>
          <w:szCs w:val="24"/>
        </w:rPr>
        <w:t>1,5</w:t>
      </w:r>
      <w:r w:rsidRPr="00D36B4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36B47">
        <w:rPr>
          <w:rFonts w:ascii="Times New Roman" w:eastAsia="Calibri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860B48" w:rsidRPr="008E7379" w:rsidRDefault="00860B48" w:rsidP="00860B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8E7379">
        <w:rPr>
          <w:rFonts w:ascii="Times New Roman" w:hAnsi="Times New Roman" w:cs="Times New Roman"/>
          <w:sz w:val="24"/>
        </w:rPr>
        <w:t>Согласно Программе, планирование образовательного процесса подразделяется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восприятие художественной литературы); образовательную деятельность, осуществляемую в ходе режимных моментов; самостоятельную деятельность детей; взаимодействие с семьями воспитанников.</w:t>
      </w:r>
    </w:p>
    <w:p w:rsidR="00860B48" w:rsidRPr="008E7379" w:rsidRDefault="00860B48" w:rsidP="00860B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860B48" w:rsidRPr="008E7379" w:rsidRDefault="00860B48" w:rsidP="00860B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332033" w:rsidRDefault="00332033" w:rsidP="00860B48"/>
    <w:p w:rsidR="00332033" w:rsidRPr="000713DE" w:rsidRDefault="00332033" w:rsidP="00860B48">
      <w:pPr>
        <w:tabs>
          <w:tab w:val="left" w:pos="10241"/>
        </w:tabs>
        <w:ind w:right="1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33" w:rsidRPr="000713DE" w:rsidRDefault="00332033" w:rsidP="00730D16">
      <w:pPr>
        <w:tabs>
          <w:tab w:val="left" w:pos="10241"/>
        </w:tabs>
        <w:ind w:right="1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33" w:rsidRPr="000713DE" w:rsidRDefault="00332033" w:rsidP="00332033">
      <w:pPr>
        <w:tabs>
          <w:tab w:val="left" w:pos="10241"/>
        </w:tabs>
        <w:ind w:right="10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6A" w:rsidRDefault="00C87B6A"/>
    <w:sectPr w:rsidR="00C87B6A" w:rsidSect="0002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6B"/>
    <w:rsid w:val="0002182A"/>
    <w:rsid w:val="0005136B"/>
    <w:rsid w:val="001D7F34"/>
    <w:rsid w:val="00332033"/>
    <w:rsid w:val="00730D16"/>
    <w:rsid w:val="00860B48"/>
    <w:rsid w:val="00C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D7F3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0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2020-10-14T13:09:00Z</dcterms:created>
  <dcterms:modified xsi:type="dcterms:W3CDTF">2022-10-03T02:53:00Z</dcterms:modified>
</cp:coreProperties>
</file>